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日申季持1号</w:t>
      </w: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管理人拟对苏银理财恒源日申季持1号理财产品部分要素进行调整，具体如下：</w:t>
      </w:r>
    </w:p>
    <w:p>
      <w:pPr>
        <w:pStyle w:val="11"/>
        <w:numPr>
          <w:ilvl w:val="0"/>
          <w:numId w:val="1"/>
        </w:numPr>
        <w:spacing w:before="0" w:beforeAutospacing="0" w:after="0" w:afterAutospacing="0" w:line="480" w:lineRule="auto"/>
        <w:ind w:firstLine="562" w:firstLineChars="200"/>
        <w:jc w:val="left"/>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9765" w:type="dxa"/>
        <w:tblInd w:w="-3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1215"/>
        <w:gridCol w:w="1605"/>
        <w:gridCol w:w="1620"/>
        <w:gridCol w:w="1635"/>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010"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销售简称</w:t>
            </w:r>
          </w:p>
        </w:tc>
        <w:tc>
          <w:tcPr>
            <w:tcW w:w="121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rPr>
              <w:t>销售代码</w:t>
            </w:r>
          </w:p>
        </w:tc>
        <w:tc>
          <w:tcPr>
            <w:tcW w:w="1605"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（调整前）</w:t>
            </w:r>
          </w:p>
        </w:tc>
        <w:tc>
          <w:tcPr>
            <w:tcW w:w="162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销售服务费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c>
          <w:tcPr>
            <w:tcW w:w="163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（调整前）</w:t>
            </w:r>
          </w:p>
        </w:tc>
        <w:tc>
          <w:tcPr>
            <w:tcW w:w="1680"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投资管理费</w:t>
            </w:r>
          </w:p>
          <w:p>
            <w:pPr>
              <w:pStyle w:val="11"/>
              <w:spacing w:before="0" w:beforeAutospacing="0" w:after="0" w:afterAutospacing="0" w:line="480" w:lineRule="auto"/>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2010" w:type="dxa"/>
            <w:noWrap w:val="0"/>
            <w:vAlign w:val="center"/>
          </w:tcPr>
          <w:p>
            <w:pPr>
              <w:keepNext w:val="0"/>
              <w:keepLines w:val="0"/>
              <w:widowControl/>
              <w:suppressLineNumbers w:val="0"/>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苏银理财恒源日申季持1号G</w:t>
            </w:r>
          </w:p>
        </w:tc>
        <w:tc>
          <w:tcPr>
            <w:tcW w:w="121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J02228</w:t>
            </w:r>
          </w:p>
        </w:tc>
        <w:tc>
          <w:tcPr>
            <w:tcW w:w="1605"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0.10%/年</w:t>
            </w:r>
          </w:p>
        </w:tc>
        <w:tc>
          <w:tcPr>
            <w:tcW w:w="1620"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0.20%/年</w:t>
            </w:r>
          </w:p>
        </w:tc>
        <w:tc>
          <w:tcPr>
            <w:tcW w:w="163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0.75%/年</w:t>
            </w:r>
          </w:p>
        </w:tc>
        <w:tc>
          <w:tcPr>
            <w:tcW w:w="1680"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0.65%/年</w:t>
            </w:r>
          </w:p>
        </w:tc>
      </w:tr>
    </w:tbl>
    <w:p>
      <w:pPr>
        <w:pStyle w:val="11"/>
        <w:numPr>
          <w:ilvl w:val="0"/>
          <w:numId w:val="1"/>
        </w:numPr>
        <w:spacing w:before="0" w:beforeAutospacing="0" w:after="0" w:afterAutospacing="0" w:line="480" w:lineRule="auto"/>
        <w:ind w:firstLine="562" w:firstLineChars="200"/>
        <w:jc w:val="left"/>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业绩比较基准/超额计提基准调整</w:t>
      </w:r>
    </w:p>
    <w:tbl>
      <w:tblPr>
        <w:tblStyle w:val="13"/>
        <w:tblW w:w="575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1"/>
        <w:gridCol w:w="1322"/>
        <w:gridCol w:w="1650"/>
        <w:gridCol w:w="1617"/>
        <w:gridCol w:w="1533"/>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14"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销售简称</w:t>
            </w:r>
          </w:p>
        </w:tc>
        <w:tc>
          <w:tcPr>
            <w:tcW w:w="666"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rPr>
              <w:t>销售代码</w:t>
            </w:r>
          </w:p>
        </w:tc>
        <w:tc>
          <w:tcPr>
            <w:tcW w:w="1647"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业绩比较基准（年化）</w:t>
            </w:r>
          </w:p>
        </w:tc>
        <w:tc>
          <w:tcPr>
            <w:tcW w:w="1571" w:type="pct"/>
            <w:gridSpan w:val="2"/>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rPr>
            </w:pPr>
            <w:r>
              <w:rPr>
                <w:rFonts w:hint="eastAsia" w:ascii="楷体" w:hAnsi="楷体" w:eastAsia="楷体" w:cs="Times New Roman"/>
                <w:sz w:val="24"/>
                <w:szCs w:val="24"/>
                <w:lang w:val="en-US" w:eastAsia="zh-CN"/>
              </w:rPr>
              <w:t xml:space="preserve">超额报酬计提基准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14" w:type="pct"/>
            <w:vMerge w:val="continue"/>
            <w:noWrap w:val="0"/>
            <w:vAlign w:val="center"/>
          </w:tcPr>
          <w:p>
            <w:pPr>
              <w:pStyle w:val="11"/>
              <w:spacing w:before="0" w:beforeAutospacing="0" w:after="0" w:afterAutospacing="0" w:line="400" w:lineRule="exact"/>
              <w:jc w:val="center"/>
              <w:rPr>
                <w:sz w:val="22"/>
                <w:szCs w:val="22"/>
              </w:rPr>
            </w:pPr>
          </w:p>
        </w:tc>
        <w:tc>
          <w:tcPr>
            <w:tcW w:w="666" w:type="pct"/>
            <w:vMerge w:val="continue"/>
            <w:noWrap w:val="0"/>
            <w:vAlign w:val="center"/>
          </w:tcPr>
          <w:p>
            <w:pPr>
              <w:pStyle w:val="11"/>
              <w:spacing w:before="0" w:beforeAutospacing="0" w:after="0" w:afterAutospacing="0" w:line="400" w:lineRule="exact"/>
              <w:jc w:val="center"/>
              <w:rPr>
                <w:sz w:val="22"/>
                <w:szCs w:val="22"/>
              </w:rPr>
            </w:pPr>
          </w:p>
        </w:tc>
        <w:tc>
          <w:tcPr>
            <w:tcW w:w="831"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815"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c>
          <w:tcPr>
            <w:tcW w:w="772"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调整前</w:t>
            </w:r>
          </w:p>
        </w:tc>
        <w:tc>
          <w:tcPr>
            <w:tcW w:w="798"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苏银理财恒源日申季持1号A</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J00314</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2.10%-2.90%</w:t>
            </w:r>
          </w:p>
        </w:tc>
        <w:tc>
          <w:tcPr>
            <w:tcW w:w="815"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kern w:val="0"/>
                <w:sz w:val="24"/>
                <w:szCs w:val="24"/>
                <w:lang w:val="en-US" w:eastAsia="zh-CN" w:bidi="ar-SA"/>
              </w:rPr>
              <w:t>中债-高信用等级中期票据全价(1年以下)指数收益率+0.20%</w:t>
            </w: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2.90%</w:t>
            </w:r>
          </w:p>
        </w:tc>
        <w:tc>
          <w:tcPr>
            <w:tcW w:w="798" w:type="pct"/>
            <w:vMerge w:val="restar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苏银理财恒源日申季持1号B</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J00315</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2.15%-2.95%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苏银理财恒源日申季持1号C</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J00316</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2.25%-3.05%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3.05%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苏银理财恒源日申季持1号D</w:t>
            </w:r>
          </w:p>
        </w:tc>
        <w:tc>
          <w:tcPr>
            <w:tcW w:w="666" w:type="pct"/>
            <w:noWrap w:val="0"/>
            <w:vAlign w:val="center"/>
          </w:tcPr>
          <w:p>
            <w:pPr>
              <w:pStyle w:val="11"/>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J00338</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2.30%-3.10%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3.10%</w:t>
            </w:r>
          </w:p>
        </w:tc>
        <w:tc>
          <w:tcPr>
            <w:tcW w:w="798" w:type="pct"/>
            <w:vMerge w:val="continue"/>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eastAsia="zh-CN"/>
              </w:rPr>
            </w:pPr>
            <w:r>
              <w:rPr>
                <w:rFonts w:hint="eastAsia" w:ascii="楷体" w:hAnsi="楷体" w:eastAsia="楷体" w:cs="Times New Roman"/>
                <w:sz w:val="24"/>
                <w:szCs w:val="24"/>
                <w:lang w:val="en-US" w:eastAsia="zh-CN"/>
              </w:rPr>
              <w:t>苏银理财恒源日申季持1号E</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rPr>
            </w:pPr>
            <w:r>
              <w:rPr>
                <w:rFonts w:hint="eastAsia" w:ascii="楷体" w:hAnsi="楷体" w:eastAsia="楷体" w:cs="Times New Roman"/>
                <w:sz w:val="24"/>
                <w:szCs w:val="24"/>
                <w:lang w:val="en-US" w:eastAsia="zh-CN"/>
              </w:rPr>
              <w:t>J00339</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2.35%-3.15%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3.15%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苏银理财恒源日申季持1号F</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J01977</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1.90%-2.80%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苏银理财恒源日申季持1号G</w:t>
            </w:r>
          </w:p>
        </w:tc>
        <w:tc>
          <w:tcPr>
            <w:tcW w:w="666" w:type="pct"/>
            <w:noWrap w:val="0"/>
            <w:vAlign w:val="center"/>
          </w:tcPr>
          <w:p>
            <w:pPr>
              <w:pStyle w:val="11"/>
              <w:spacing w:before="0" w:beforeAutospacing="0" w:after="0" w:afterAutospacing="0" w:line="400" w:lineRule="exact"/>
              <w:jc w:val="center"/>
              <w:rPr>
                <w:rFonts w:ascii="楷体" w:hAnsi="楷体" w:eastAsia="楷体" w:cs="Times New Roman"/>
                <w:sz w:val="24"/>
                <w:szCs w:val="24"/>
              </w:rPr>
            </w:pPr>
            <w:r>
              <w:rPr>
                <w:rFonts w:hint="eastAsia" w:ascii="楷体" w:hAnsi="楷体" w:eastAsia="楷体" w:cs="Times New Roman"/>
                <w:sz w:val="24"/>
                <w:szCs w:val="24"/>
                <w:lang w:val="en-US" w:eastAsia="zh-CN"/>
              </w:rPr>
              <w:t>J02228</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2.05%-2.95%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苏银理财恒源日申季持1号（芙蓉锦程·优选）</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J03611</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1.90%-2.80%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c>
          <w:tcPr>
            <w:tcW w:w="798" w:type="pct"/>
            <w:vMerge w:val="continue"/>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苏银理财恒源日申季持1号（北部湾银行专属）</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J03830</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1.90%-2.80%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2.80%</w:t>
            </w:r>
          </w:p>
        </w:tc>
        <w:tc>
          <w:tcPr>
            <w:tcW w:w="798" w:type="pct"/>
            <w:vMerge w:val="continue"/>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苏银理财恒源日申季持1号ZJ</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J07599</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2.10%-3.00%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3.00%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恒源日申季持1号A滚续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J02646</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2.10%-2.90%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恒源日申季持1号B滚续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J02658</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2.15%-2.95%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恒源日申季持1号C滚续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J02659</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2.25%-3.05%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3.05%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恒源日申季持1号D滚续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J02660</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2.30%-3.10%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3.10%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恒源日申季持1号E滚续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J02661</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2.35%-3.15%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3.15%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恒源日申季持1号Q滚续</w:t>
            </w:r>
          </w:p>
        </w:tc>
        <w:tc>
          <w:tcPr>
            <w:tcW w:w="666" w:type="pct"/>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J03053</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2.30%-3.10%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3.10%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sz w:val="24"/>
                <w:szCs w:val="24"/>
                <w:lang w:val="en-US" w:eastAsia="zh-CN"/>
              </w:rPr>
            </w:pPr>
            <w:bookmarkStart w:id="0" w:name="_GoBack" w:colFirst="0" w:colLast="1"/>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w:t>
            </w:r>
            <w:r>
              <w:rPr>
                <w:rFonts w:hint="eastAsia" w:ascii="楷体" w:hAnsi="楷体" w:eastAsia="楷体" w:cs="Times New Roman"/>
                <w:kern w:val="0"/>
                <w:sz w:val="24"/>
                <w:szCs w:val="24"/>
                <w:lang w:val="en-US" w:eastAsia="zh-CN" w:bidi="ar-SA"/>
              </w:rPr>
              <w:t>Z</w:t>
            </w:r>
            <w:r>
              <w:rPr>
                <w:rFonts w:hint="default" w:ascii="楷体" w:hAnsi="楷体" w:eastAsia="楷体" w:cs="Times New Roman"/>
                <w:kern w:val="0"/>
                <w:sz w:val="24"/>
                <w:szCs w:val="24"/>
                <w:lang w:val="en-US" w:eastAsia="zh-CN" w:bidi="ar-SA"/>
              </w:rPr>
              <w:t>滚续</w:t>
            </w:r>
          </w:p>
        </w:tc>
        <w:tc>
          <w:tcPr>
            <w:tcW w:w="666"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J03405</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2.30%-3.10%</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3.10%</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w:t>
            </w:r>
            <w:r>
              <w:rPr>
                <w:rFonts w:hint="default" w:ascii="楷体" w:hAnsi="楷体" w:eastAsia="楷体" w:cs="Times New Roman"/>
                <w:kern w:val="0"/>
                <w:sz w:val="24"/>
                <w:szCs w:val="24"/>
                <w:lang w:val="en-US" w:eastAsia="zh-CN" w:bidi="ar-SA"/>
              </w:rPr>
              <w:t>恒源日申季持1号</w:t>
            </w:r>
            <w:r>
              <w:rPr>
                <w:rFonts w:hint="eastAsia" w:ascii="楷体" w:hAnsi="楷体" w:eastAsia="楷体" w:cs="Times New Roman"/>
                <w:kern w:val="0"/>
                <w:sz w:val="24"/>
                <w:szCs w:val="24"/>
                <w:lang w:val="en-US" w:eastAsia="zh-CN" w:bidi="ar-SA"/>
              </w:rPr>
              <w:t>（代发专享）</w:t>
            </w:r>
            <w:r>
              <w:rPr>
                <w:rFonts w:hint="default" w:ascii="楷体" w:hAnsi="楷体" w:eastAsia="楷体" w:cs="Times New Roman"/>
                <w:kern w:val="0"/>
                <w:sz w:val="24"/>
                <w:szCs w:val="24"/>
                <w:lang w:val="en-US" w:eastAsia="zh-CN" w:bidi="ar-SA"/>
              </w:rPr>
              <w:t>滚续</w:t>
            </w:r>
          </w:p>
        </w:tc>
        <w:tc>
          <w:tcPr>
            <w:tcW w:w="666"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J03426</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2.15%-2.95%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14" w:type="pct"/>
            <w:noWrap w:val="0"/>
            <w:vAlign w:val="center"/>
          </w:tcPr>
          <w:p>
            <w:pPr>
              <w:widowControl/>
              <w:spacing w:line="0" w:lineRule="atLeast"/>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苏银理财恒源日申季持1号H</w:t>
            </w:r>
          </w:p>
        </w:tc>
        <w:tc>
          <w:tcPr>
            <w:tcW w:w="666"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J09335</w:t>
            </w:r>
          </w:p>
        </w:tc>
        <w:tc>
          <w:tcPr>
            <w:tcW w:w="831" w:type="pct"/>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Times New Roman"/>
                <w:kern w:val="0"/>
                <w:sz w:val="24"/>
                <w:szCs w:val="24"/>
                <w:lang w:val="en-US" w:eastAsia="zh-CN" w:bidi="ar-SA"/>
              </w:rPr>
              <w:t>2.05%-2.95%</w:t>
            </w:r>
          </w:p>
        </w:tc>
        <w:tc>
          <w:tcPr>
            <w:tcW w:w="815" w:type="pct"/>
            <w:vMerge w:val="continue"/>
            <w:noWrap w:val="0"/>
            <w:vAlign w:val="center"/>
          </w:tcPr>
          <w:p>
            <w:pPr>
              <w:pStyle w:val="11"/>
              <w:spacing w:before="0" w:beforeAutospacing="0" w:after="0" w:afterAutospacing="0" w:line="400" w:lineRule="exact"/>
              <w:jc w:val="center"/>
              <w:rPr>
                <w:rFonts w:hint="eastAsia" w:ascii="楷体" w:hAnsi="楷体" w:eastAsia="楷体" w:cs="Times New Roman"/>
                <w:sz w:val="24"/>
                <w:szCs w:val="24"/>
                <w:lang w:val="en-US" w:eastAsia="zh-CN"/>
              </w:rPr>
            </w:pPr>
          </w:p>
        </w:tc>
        <w:tc>
          <w:tcPr>
            <w:tcW w:w="772" w:type="pct"/>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2.95%</w:t>
            </w:r>
          </w:p>
        </w:tc>
        <w:tc>
          <w:tcPr>
            <w:tcW w:w="798" w:type="pct"/>
            <w:vMerge w:val="continue"/>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p>
        </w:tc>
      </w:tr>
    </w:tbl>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2026年2月3日及以后确认的份额适用调整后的业绩比较基准和超额报酬计提基准；2026年2月3日前已确认的份额，适用确认时原有的业绩比较基准和超额报酬计提基准。</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29</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C22660"/>
    <w:multiLevelType w:val="singleLevel"/>
    <w:tmpl w:val="4CC2266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7F2009"/>
    <w:rsid w:val="045565FB"/>
    <w:rsid w:val="04A652FF"/>
    <w:rsid w:val="05B86E99"/>
    <w:rsid w:val="05C24554"/>
    <w:rsid w:val="07731EDA"/>
    <w:rsid w:val="099D0555"/>
    <w:rsid w:val="0BA66D62"/>
    <w:rsid w:val="0DAF4280"/>
    <w:rsid w:val="10462666"/>
    <w:rsid w:val="10E55ACF"/>
    <w:rsid w:val="15CF287D"/>
    <w:rsid w:val="161607F5"/>
    <w:rsid w:val="1A4E3859"/>
    <w:rsid w:val="1A682F18"/>
    <w:rsid w:val="1BF45EF1"/>
    <w:rsid w:val="1CD77CF3"/>
    <w:rsid w:val="1E370F59"/>
    <w:rsid w:val="21EF6081"/>
    <w:rsid w:val="2A3744FF"/>
    <w:rsid w:val="2BC035CC"/>
    <w:rsid w:val="2E3A68D3"/>
    <w:rsid w:val="2EB879E5"/>
    <w:rsid w:val="2F4C7247"/>
    <w:rsid w:val="2FC73FD7"/>
    <w:rsid w:val="2FD10999"/>
    <w:rsid w:val="32690DD7"/>
    <w:rsid w:val="32C82642"/>
    <w:rsid w:val="34622BDD"/>
    <w:rsid w:val="34EC5AF9"/>
    <w:rsid w:val="39E8758E"/>
    <w:rsid w:val="3ABF7DB8"/>
    <w:rsid w:val="3B0B130E"/>
    <w:rsid w:val="3B6C5966"/>
    <w:rsid w:val="3E5206FE"/>
    <w:rsid w:val="3F8225F3"/>
    <w:rsid w:val="45EB52C6"/>
    <w:rsid w:val="482B6C56"/>
    <w:rsid w:val="49AE47A5"/>
    <w:rsid w:val="4AC35087"/>
    <w:rsid w:val="4B43165C"/>
    <w:rsid w:val="4C194B78"/>
    <w:rsid w:val="4DE250C0"/>
    <w:rsid w:val="4F40507F"/>
    <w:rsid w:val="51C95C5F"/>
    <w:rsid w:val="52020F9B"/>
    <w:rsid w:val="527D382B"/>
    <w:rsid w:val="54BC1155"/>
    <w:rsid w:val="55170CA3"/>
    <w:rsid w:val="554B526C"/>
    <w:rsid w:val="5D0143FE"/>
    <w:rsid w:val="5F3F314C"/>
    <w:rsid w:val="629B7BA9"/>
    <w:rsid w:val="639B4440"/>
    <w:rsid w:val="63CD2A95"/>
    <w:rsid w:val="64BB56D1"/>
    <w:rsid w:val="697A02E4"/>
    <w:rsid w:val="69C04ABB"/>
    <w:rsid w:val="6ACE4D37"/>
    <w:rsid w:val="6DA25949"/>
    <w:rsid w:val="6FBE2CF9"/>
    <w:rsid w:val="6FF36009"/>
    <w:rsid w:val="70CD39E7"/>
    <w:rsid w:val="7396760B"/>
    <w:rsid w:val="74966354"/>
    <w:rsid w:val="76816DDF"/>
    <w:rsid w:val="77667C2A"/>
    <w:rsid w:val="794F4865"/>
    <w:rsid w:val="7B0A6242"/>
    <w:rsid w:val="7B4D1255"/>
    <w:rsid w:val="7EDA59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29"/>
    <w:semiHidden/>
    <w:qFormat/>
    <w:uiPriority w:val="99"/>
    <w:rPr>
      <w:rFonts w:ascii="Calibri" w:hAnsi="Calibri"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310</Words>
  <Characters>339</Characters>
  <Lines>2</Lines>
  <Paragraphs>1</Paragraphs>
  <TotalTime>4</TotalTime>
  <ScaleCrop>false</ScaleCrop>
  <LinksUpToDate>false</LinksUpToDate>
  <CharactersWithSpaces>343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2026-01-29T10:33:46Z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1E0DB185450F407EA6ADD1F2725EDA44</vt:lpwstr>
  </property>
</Properties>
</file>